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C0C15" w14:textId="77777777" w:rsidR="003D077C" w:rsidRDefault="000000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Brief summary</w:t>
      </w:r>
    </w:p>
    <w:p w14:paraId="18E84BD0" w14:textId="77777777" w:rsidR="003D077C" w:rsidRDefault="003D077C">
      <w:pPr>
        <w:jc w:val="center"/>
        <w:rPr>
          <w:b/>
          <w:sz w:val="28"/>
          <w:szCs w:val="28"/>
          <w:vertAlign w:val="superscript"/>
        </w:rPr>
      </w:pPr>
    </w:p>
    <w:tbl>
      <w:tblPr>
        <w:tblW w:w="9254" w:type="dxa"/>
        <w:tblInd w:w="-5" w:type="dxa"/>
        <w:tblLook w:val="0000" w:firstRow="0" w:lastRow="0" w:firstColumn="0" w:lastColumn="0" w:noHBand="0" w:noVBand="0"/>
      </w:tblPr>
      <w:tblGrid>
        <w:gridCol w:w="496"/>
        <w:gridCol w:w="2448"/>
        <w:gridCol w:w="6310"/>
      </w:tblGrid>
      <w:tr w:rsidR="003D077C" w14:paraId="74846F9E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1174C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782F1" w14:textId="77777777" w:rsidR="003D077C" w:rsidRPr="001266A6" w:rsidRDefault="00000000">
            <w:pPr>
              <w:jc w:val="center"/>
              <w:rPr>
                <w:sz w:val="28"/>
                <w:szCs w:val="28"/>
                <w:lang w:val="en-US"/>
              </w:rPr>
            </w:pPr>
            <w:r w:rsidRPr="001266A6">
              <w:rPr>
                <w:sz w:val="28"/>
                <w:szCs w:val="28"/>
                <w:lang w:val="en-US"/>
              </w:rPr>
              <w:t>Name of the academic discipline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4A91" w14:textId="77777777" w:rsidR="003D077C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color w:val="2C2D2E"/>
                <w:sz w:val="28"/>
                <w:szCs w:val="28"/>
                <w:shd w:val="clear" w:color="auto" w:fill="FFFFFF"/>
              </w:rPr>
              <w:t xml:space="preserve">"ECONOMIC LAW" </w:t>
            </w:r>
          </w:p>
        </w:tc>
      </w:tr>
      <w:tr w:rsidR="003D077C" w:rsidRPr="00ED07AF" w14:paraId="1DFB4F99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B0387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8300B8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Specialty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9944" w14:textId="77777777" w:rsidR="003D077C" w:rsidRPr="001266A6" w:rsidRDefault="00000000">
            <w:pPr>
              <w:spacing w:line="300" w:lineRule="atLeast"/>
              <w:jc w:val="both"/>
              <w:rPr>
                <w:color w:val="2C2D2E"/>
                <w:sz w:val="28"/>
                <w:szCs w:val="28"/>
                <w:lang w:val="en-US"/>
              </w:rPr>
            </w:pPr>
            <w:r w:rsidRPr="001266A6">
              <w:rPr>
                <w:color w:val="2C2D2E"/>
                <w:sz w:val="28"/>
                <w:szCs w:val="28"/>
                <w:lang w:val="en-US"/>
              </w:rPr>
              <w:t xml:space="preserve">1-24 01 02 Law, </w:t>
            </w:r>
          </w:p>
          <w:p w14:paraId="79679A72" w14:textId="77777777" w:rsidR="003D077C" w:rsidRPr="001266A6" w:rsidRDefault="00000000">
            <w:pPr>
              <w:spacing w:line="300" w:lineRule="atLeast"/>
              <w:jc w:val="both"/>
              <w:rPr>
                <w:color w:val="2C2D2E"/>
                <w:sz w:val="28"/>
                <w:szCs w:val="28"/>
                <w:lang w:val="en-US"/>
              </w:rPr>
            </w:pPr>
            <w:r w:rsidRPr="001266A6">
              <w:rPr>
                <w:color w:val="2C2D2E"/>
                <w:sz w:val="28"/>
                <w:szCs w:val="28"/>
                <w:lang w:val="en-US"/>
              </w:rPr>
              <w:t xml:space="preserve">1-24 01 03 Economic law, </w:t>
            </w:r>
          </w:p>
          <w:p w14:paraId="169CF1F7" w14:textId="77777777" w:rsidR="003D077C" w:rsidRPr="001266A6" w:rsidRDefault="00000000">
            <w:pPr>
              <w:spacing w:line="300" w:lineRule="atLeast"/>
              <w:jc w:val="both"/>
              <w:rPr>
                <w:i/>
                <w:sz w:val="28"/>
                <w:szCs w:val="28"/>
                <w:lang w:val="en-US"/>
              </w:rPr>
            </w:pPr>
            <w:r w:rsidRPr="001266A6">
              <w:rPr>
                <w:color w:val="2C2D2E"/>
                <w:sz w:val="28"/>
                <w:szCs w:val="28"/>
                <w:lang w:val="en-US"/>
              </w:rPr>
              <w:t>1-23 01 06 Political Science</w:t>
            </w:r>
          </w:p>
        </w:tc>
      </w:tr>
      <w:tr w:rsidR="003D077C" w14:paraId="72CEBFD9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96345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21ADE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Course of study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9774" w14:textId="77777777" w:rsidR="003D077C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14:paraId="3B88310E" w14:textId="77777777" w:rsidR="003D077C" w:rsidRDefault="003D077C">
            <w:pPr>
              <w:jc w:val="both"/>
              <w:rPr>
                <w:sz w:val="28"/>
                <w:szCs w:val="28"/>
              </w:rPr>
            </w:pPr>
          </w:p>
        </w:tc>
      </w:tr>
      <w:tr w:rsidR="003D077C" w14:paraId="586AE1E5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2D8E7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7CD25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Semester of study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B2E5" w14:textId="77777777" w:rsidR="003D077C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  <w:p w14:paraId="1E1CF836" w14:textId="77777777" w:rsidR="003D077C" w:rsidRDefault="003D077C">
            <w:pPr>
              <w:jc w:val="both"/>
              <w:rPr>
                <w:sz w:val="28"/>
                <w:szCs w:val="28"/>
              </w:rPr>
            </w:pPr>
          </w:p>
        </w:tc>
      </w:tr>
      <w:tr w:rsidR="003D077C" w14:paraId="15E8E764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8E376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EAF478" w14:textId="77777777" w:rsidR="003D077C" w:rsidRPr="001266A6" w:rsidRDefault="00000000">
            <w:pPr>
              <w:jc w:val="center"/>
              <w:rPr>
                <w:sz w:val="28"/>
                <w:szCs w:val="28"/>
                <w:lang w:val="en-US"/>
              </w:rPr>
            </w:pPr>
            <w:r w:rsidRPr="001266A6">
              <w:rPr>
                <w:sz w:val="28"/>
                <w:szCs w:val="28"/>
                <w:lang w:val="en-US"/>
              </w:rPr>
              <w:t>Labor intensity in credit units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67D4" w14:textId="77777777" w:rsidR="003D077C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D077C" w:rsidRPr="001266A6" w14:paraId="0E6979C2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1A3B9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2B31F" w14:textId="77777777" w:rsidR="003D077C" w:rsidRPr="001266A6" w:rsidRDefault="00000000">
            <w:pPr>
              <w:jc w:val="center"/>
              <w:rPr>
                <w:sz w:val="28"/>
                <w:szCs w:val="28"/>
                <w:lang w:val="en-US"/>
              </w:rPr>
            </w:pPr>
            <w:r w:rsidRPr="001266A6">
              <w:rPr>
                <w:sz w:val="28"/>
                <w:szCs w:val="28"/>
                <w:lang w:val="en-US"/>
              </w:rPr>
              <w:t>Degree, title, full name of the teacher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679B" w14:textId="77777777" w:rsidR="003D077C" w:rsidRPr="001266A6" w:rsidRDefault="00000000">
            <w:pPr>
              <w:jc w:val="both"/>
              <w:rPr>
                <w:sz w:val="28"/>
                <w:szCs w:val="28"/>
                <w:lang w:val="en-US"/>
              </w:rPr>
            </w:pPr>
            <w:r w:rsidRPr="001266A6">
              <w:rPr>
                <w:sz w:val="28"/>
                <w:szCs w:val="28"/>
                <w:lang w:val="en-US"/>
              </w:rPr>
              <w:t>Senior teacher Kudryavets Yulia Nikolaevna</w:t>
            </w:r>
          </w:p>
        </w:tc>
      </w:tr>
      <w:tr w:rsidR="003D077C" w:rsidRPr="001266A6" w14:paraId="51BE2BCF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0AFC9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4A796" w14:textId="77777777" w:rsidR="003D077C" w:rsidRPr="001266A6" w:rsidRDefault="00000000">
            <w:pPr>
              <w:jc w:val="center"/>
              <w:rPr>
                <w:sz w:val="28"/>
                <w:szCs w:val="28"/>
                <w:lang w:val="en-US"/>
              </w:rPr>
            </w:pPr>
            <w:r w:rsidRPr="001266A6">
              <w:rPr>
                <w:sz w:val="28"/>
                <w:szCs w:val="28"/>
                <w:lang w:val="en-US"/>
              </w:rPr>
              <w:t>The purpose of the discipline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D8D2" w14:textId="77777777" w:rsidR="003D077C" w:rsidRPr="001266A6" w:rsidRDefault="00000000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1266A6">
              <w:rPr>
                <w:sz w:val="28"/>
                <w:szCs w:val="28"/>
                <w:lang w:val="en-US" w:eastAsia="en-US"/>
              </w:rPr>
              <w:t>Is for students to obtain and assimilate theoretical knowledge of the basics of legal regulation of economic relations and the development of practical skills in the application of economic legislation.</w:t>
            </w:r>
          </w:p>
          <w:p w14:paraId="0123B407" w14:textId="77777777" w:rsidR="003D077C" w:rsidRPr="001266A6" w:rsidRDefault="003D077C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3D077C" w:rsidRPr="001266A6" w14:paraId="4F6416ED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3980B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C95E5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Prerequisites</w:t>
            </w:r>
          </w:p>
          <w:p w14:paraId="3FDF3900" w14:textId="77777777" w:rsidR="003D077C" w:rsidRDefault="003D07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816D" w14:textId="77777777" w:rsidR="003D077C" w:rsidRPr="001266A6" w:rsidRDefault="00000000">
            <w:pPr>
              <w:jc w:val="both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Constitutional law; general Theory of law; civil law; administrative law</w:t>
            </w:r>
          </w:p>
        </w:tc>
      </w:tr>
      <w:tr w:rsidR="003D077C" w14:paraId="50C155ED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06454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A5C960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Content of the discipline</w:t>
            </w:r>
          </w:p>
          <w:p w14:paraId="492B4011" w14:textId="77777777" w:rsidR="003D077C" w:rsidRDefault="003D07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9E00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1. Economy (economy) as an object of legal influence.</w:t>
            </w:r>
          </w:p>
          <w:p w14:paraId="58CB26F6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2. Economic law and its place in the legal system.</w:t>
            </w:r>
          </w:p>
          <w:p w14:paraId="04A297B8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3. Economic activity.</w:t>
            </w:r>
          </w:p>
          <w:p w14:paraId="6CA313FB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4. Subjects of economic activity.</w:t>
            </w:r>
          </w:p>
          <w:p w14:paraId="47426F7B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5. Economic legal relationship.</w:t>
            </w:r>
          </w:p>
          <w:p w14:paraId="5ABB9FB8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6. State management of the national economy.</w:t>
            </w:r>
          </w:p>
          <w:p w14:paraId="6AEB2E1B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7. Implementation of state economic policy through the interaction of subjects of public and private interest.</w:t>
            </w:r>
          </w:p>
          <w:p w14:paraId="5B54C0F6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8. Legal bases of entrepreneurial and non-entrepreneurial economic activity.</w:t>
            </w:r>
          </w:p>
          <w:p w14:paraId="5D7B80A5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9. Management of economic activity.</w:t>
            </w:r>
          </w:p>
          <w:p w14:paraId="66032DA1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10. Financing of economic activity and implementation of investments.</w:t>
            </w:r>
          </w:p>
          <w:p w14:paraId="22FA64B6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11. National economic security as an economic and legal category.</w:t>
            </w:r>
          </w:p>
          <w:p w14:paraId="7AF6712E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12. Antimonopoly law.</w:t>
            </w:r>
          </w:p>
          <w:p w14:paraId="5B60F476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13. Competition law.</w:t>
            </w:r>
          </w:p>
          <w:p w14:paraId="318F2B5C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14. Conditional law.</w:t>
            </w:r>
          </w:p>
          <w:p w14:paraId="5C7F2FC1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13. Legal bases of functioning of the state infrastructure.</w:t>
            </w:r>
          </w:p>
          <w:p w14:paraId="1657D5F5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14. Legal basis for the functioning of the service sector.</w:t>
            </w:r>
          </w:p>
          <w:p w14:paraId="42B7DF7C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15. Industrial law.</w:t>
            </w:r>
          </w:p>
          <w:p w14:paraId="23057CD4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16. Economic activity in the agro-industrial complex.</w:t>
            </w:r>
          </w:p>
          <w:p w14:paraId="24929042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lastRenderedPageBreak/>
              <w:t>17. Economic activity in the financial sector of the national economy.</w:t>
            </w:r>
          </w:p>
          <w:p w14:paraId="25B4F325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18. Commercial law.</w:t>
            </w:r>
          </w:p>
          <w:p w14:paraId="29E08AA4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19. Legal bases of economic activity in the information sphere.</w:t>
            </w:r>
          </w:p>
          <w:p w14:paraId="263371E6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20. Legal regulation of economic activity in the sphere of human capital and culture development.</w:t>
            </w:r>
          </w:p>
          <w:p w14:paraId="1EA54080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21. Legal regulation of household activities.</w:t>
            </w:r>
          </w:p>
          <w:p w14:paraId="44A82DF7" w14:textId="77777777" w:rsidR="003D077C" w:rsidRPr="001266A6" w:rsidRDefault="00000000">
            <w:p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-38"/>
              <w:jc w:val="both"/>
              <w:outlineLvl w:val="2"/>
              <w:rPr>
                <w:lang w:val="en-US"/>
              </w:rPr>
            </w:pPr>
            <w:r w:rsidRPr="001266A6">
              <w:rPr>
                <w:iCs/>
                <w:sz w:val="28"/>
                <w:szCs w:val="28"/>
                <w:lang w:val="en-US"/>
              </w:rPr>
              <w:t>22. Legal bases of foreign economic policy. Foreign economic law and its place in the legal system.</w:t>
            </w:r>
          </w:p>
          <w:p w14:paraId="02F830CE" w14:textId="77777777" w:rsidR="003D077C" w:rsidRDefault="0000000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23. Foreign trade law.</w:t>
            </w:r>
          </w:p>
          <w:p w14:paraId="0674FAAC" w14:textId="77777777" w:rsidR="003D077C" w:rsidRDefault="003D077C">
            <w:pPr>
              <w:ind w:left="322"/>
              <w:jc w:val="both"/>
              <w:rPr>
                <w:iCs/>
                <w:sz w:val="28"/>
                <w:szCs w:val="28"/>
              </w:rPr>
            </w:pPr>
          </w:p>
        </w:tc>
      </w:tr>
      <w:tr w:rsidR="003D077C" w14:paraId="34215BAD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A53D6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EEEC4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Recommended literature</w:t>
            </w:r>
          </w:p>
          <w:p w14:paraId="785AAD9E" w14:textId="77777777" w:rsidR="003D077C" w:rsidRDefault="003D07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71786" w14:textId="77777777" w:rsidR="00ED07AF" w:rsidRPr="00ED07AF" w:rsidRDefault="00ED07AF" w:rsidP="00ED07AF">
            <w:pPr>
              <w:shd w:val="clear" w:color="auto" w:fill="FFFFFF"/>
              <w:tabs>
                <w:tab w:val="left" w:pos="360"/>
              </w:tabs>
              <w:spacing w:line="256" w:lineRule="auto"/>
              <w:ind w:left="33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ED07AF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1. Бондаренко, Н. Л. Кондиционное право как самостоятельная отрасль права и как элемент механизма пруденциального регулирования / Н. Л. Бондаренко, Ю. Г. Конаневич, Ю. А. Хилинская // Российский правовой журнал. – 2021. – № 2 (7). – С. 60–77.</w:t>
            </w:r>
          </w:p>
          <w:p w14:paraId="39BE3E48" w14:textId="77777777" w:rsidR="00ED07AF" w:rsidRPr="00ED07AF" w:rsidRDefault="00ED07AF" w:rsidP="00ED07AF">
            <w:pPr>
              <w:shd w:val="clear" w:color="auto" w:fill="FFFFFF"/>
              <w:tabs>
                <w:tab w:val="left" w:pos="360"/>
              </w:tabs>
              <w:spacing w:line="256" w:lineRule="auto"/>
              <w:ind w:left="33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ED07AF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2. Вабищевич, С. С. Хозяйственное право / С. С. Вабищевич, Н. А. Маньковский. – Минск : Молодежное, 2011. – 304 с.</w:t>
            </w:r>
          </w:p>
          <w:p w14:paraId="52681863" w14:textId="77777777" w:rsidR="00ED07AF" w:rsidRPr="00ED07AF" w:rsidRDefault="00ED07AF" w:rsidP="00ED07AF">
            <w:pPr>
              <w:shd w:val="clear" w:color="auto" w:fill="FFFFFF"/>
              <w:tabs>
                <w:tab w:val="left" w:pos="360"/>
              </w:tabs>
              <w:spacing w:line="256" w:lineRule="auto"/>
              <w:ind w:left="33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ED07AF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3. Капский, Д. В. Правовые основы транспортной деятельности : учеб. пособие / Д. В. Капский, О. А. Хотько. – Минск : Вышэйшая школа, 2019. – 317 с.</w:t>
            </w:r>
          </w:p>
          <w:p w14:paraId="7E7C6BB2" w14:textId="77777777" w:rsidR="00ED07AF" w:rsidRPr="00ED07AF" w:rsidRDefault="00ED07AF" w:rsidP="00ED07AF">
            <w:pPr>
              <w:shd w:val="clear" w:color="auto" w:fill="FFFFFF"/>
              <w:tabs>
                <w:tab w:val="left" w:pos="360"/>
              </w:tabs>
              <w:spacing w:line="256" w:lineRule="auto"/>
              <w:ind w:left="33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ED07AF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4. Конаневич, Ю. Г. Политико-коммуникативная деятельность как вид публичной хозяйственной деятельности, обеспечивающий реализацию внутренней и внешней политики государства и защиту национальных интересов / Ю. Г. Конаневич // Актуальные проблемы гражданского права. – 2020. – № 1 (15). – С 62–77.</w:t>
            </w:r>
          </w:p>
          <w:p w14:paraId="063C94C9" w14:textId="77777777" w:rsidR="00ED07AF" w:rsidRPr="00ED07AF" w:rsidRDefault="00ED07AF" w:rsidP="00ED07AF">
            <w:pPr>
              <w:shd w:val="clear" w:color="auto" w:fill="FFFFFF"/>
              <w:tabs>
                <w:tab w:val="left" w:pos="360"/>
              </w:tabs>
              <w:spacing w:line="256" w:lineRule="auto"/>
              <w:ind w:left="33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ED07AF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5. Конаневич, Ю. Г. Хозяйственная деятельность в системе общественных отношений / Ю. Г. Конаневич // Труд. Профсоюзы. Общество. – 2021. – № 1 (71). – С 68–72.</w:t>
            </w:r>
          </w:p>
          <w:p w14:paraId="33B4A4C1" w14:textId="5D24A614" w:rsidR="003D077C" w:rsidRPr="00ED07AF" w:rsidRDefault="00ED07AF" w:rsidP="00ED07AF">
            <w:pPr>
              <w:shd w:val="clear" w:color="auto" w:fill="FFFFFF"/>
              <w:tabs>
                <w:tab w:val="left" w:pos="884"/>
              </w:tabs>
              <w:spacing w:line="25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D07AF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6. Сидорчук, В. К. Хозяйственное право : учеб. пособие / В. К. Сидорчук. – Минск : РИВШ, 2019. – 406 с.</w:t>
            </w:r>
          </w:p>
        </w:tc>
      </w:tr>
      <w:tr w:rsidR="003D077C" w:rsidRPr="001266A6" w14:paraId="37536EBF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6D456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CD4F0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Methods of teaching</w:t>
            </w:r>
          </w:p>
          <w:p w14:paraId="4911D207" w14:textId="77777777" w:rsidR="003D077C" w:rsidRDefault="003D07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4463" w14:textId="77777777" w:rsidR="003D077C" w:rsidRPr="001266A6" w:rsidRDefault="00000000">
            <w:pPr>
              <w:jc w:val="both"/>
              <w:rPr>
                <w:sz w:val="28"/>
                <w:szCs w:val="28"/>
                <w:lang w:val="en-US"/>
              </w:rPr>
            </w:pPr>
            <w:r w:rsidRPr="001266A6">
              <w:rPr>
                <w:sz w:val="28"/>
                <w:szCs w:val="28"/>
                <w:lang w:val="en-US"/>
              </w:rPr>
              <w:t>Dialectical, historical, comparative-legal, logical, formal-legal, statistical, methods of modeling, analysis and synthesis, abstraction, system and structural approaches</w:t>
            </w:r>
          </w:p>
        </w:tc>
      </w:tr>
      <w:tr w:rsidR="003D077C" w14:paraId="4130CB0E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C54A1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763A7" w14:textId="77777777" w:rsidR="003D077C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Language of instruction</w:t>
            </w:r>
          </w:p>
          <w:p w14:paraId="5D16DC3A" w14:textId="77777777" w:rsidR="003D077C" w:rsidRDefault="003D07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7FC0" w14:textId="77777777" w:rsidR="003D077C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Russian</w:t>
            </w:r>
          </w:p>
        </w:tc>
      </w:tr>
    </w:tbl>
    <w:p w14:paraId="07EABDEB" w14:textId="77777777" w:rsidR="003D077C" w:rsidRDefault="003D077C">
      <w:pPr>
        <w:jc w:val="center"/>
        <w:rPr>
          <w:b/>
          <w:sz w:val="28"/>
          <w:szCs w:val="28"/>
        </w:rPr>
      </w:pPr>
    </w:p>
    <w:p w14:paraId="53848E14" w14:textId="77777777" w:rsidR="003D077C" w:rsidRDefault="003D077C">
      <w:pPr>
        <w:jc w:val="center"/>
        <w:rPr>
          <w:b/>
          <w:sz w:val="28"/>
          <w:szCs w:val="28"/>
        </w:rPr>
      </w:pPr>
    </w:p>
    <w:p w14:paraId="1F4B6777" w14:textId="77777777" w:rsidR="003D077C" w:rsidRDefault="003D077C">
      <w:pPr>
        <w:jc w:val="center"/>
        <w:rPr>
          <w:b/>
          <w:sz w:val="28"/>
          <w:szCs w:val="28"/>
        </w:rPr>
      </w:pPr>
    </w:p>
    <w:p w14:paraId="2ACCFDAC" w14:textId="77777777" w:rsidR="003D077C" w:rsidRDefault="003D077C">
      <w:pPr>
        <w:jc w:val="center"/>
        <w:rPr>
          <w:b/>
          <w:sz w:val="28"/>
          <w:szCs w:val="28"/>
        </w:rPr>
      </w:pPr>
    </w:p>
    <w:p w14:paraId="152C873A" w14:textId="77777777" w:rsidR="003D077C" w:rsidRDefault="003D077C">
      <w:pPr>
        <w:jc w:val="both"/>
        <w:rPr>
          <w:b/>
        </w:rPr>
      </w:pPr>
    </w:p>
    <w:p w14:paraId="684C8A71" w14:textId="77777777" w:rsidR="003D077C" w:rsidRDefault="003D077C">
      <w:pPr>
        <w:jc w:val="both"/>
      </w:pPr>
    </w:p>
    <w:sectPr w:rsidR="003D077C">
      <w:pgSz w:w="11906" w:h="16838"/>
      <w:pgMar w:top="709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AR PL UMing CN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37B88"/>
    <w:multiLevelType w:val="multilevel"/>
    <w:tmpl w:val="C0C6197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29119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77C"/>
    <w:rsid w:val="001266A6"/>
    <w:rsid w:val="003D077C"/>
    <w:rsid w:val="00ED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4FC8B"/>
  <w15:docId w15:val="{1899EC54-48FB-4EA1-9B78-284CE1A6B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AR PL UMing CN" w:hAnsi="Liberation Serif" w:cs="FreeSans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val="en-US"/>
    </w:rPr>
  </w:style>
  <w:style w:type="paragraph" w:styleId="6">
    <w:name w:val="heading 6"/>
    <w:basedOn w:val="a"/>
    <w:next w:val="a"/>
    <w:uiPriority w:val="9"/>
    <w:semiHidden/>
    <w:unhideWhenUsed/>
    <w:qFormat/>
    <w:pPr>
      <w:numPr>
        <w:ilvl w:val="5"/>
        <w:numId w:val="1"/>
      </w:numPr>
      <w:spacing w:before="280" w:after="100" w:line="360" w:lineRule="auto"/>
      <w:outlineLvl w:val="5"/>
    </w:pPr>
    <w:rPr>
      <w:rFonts w:ascii="Arial" w:hAnsi="Arial" w:cs="Arial"/>
      <w:i/>
      <w:iCs/>
      <w:color w:val="4F81BD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WW8Num2z1">
    <w:name w:val="WW8Num2z1"/>
    <w:qFormat/>
    <w:rPr>
      <w:rFonts w:ascii="Courier New" w:hAnsi="Courier New" w:cs="Courier New"/>
      <w:sz w:val="20"/>
    </w:rPr>
  </w:style>
  <w:style w:type="character" w:customStyle="1" w:styleId="WW8Num2z2">
    <w:name w:val="WW8Num2z2"/>
    <w:qFormat/>
    <w:rPr>
      <w:rFonts w:ascii="Wingdings" w:hAnsi="Wingdings" w:cs="Wingdings"/>
      <w:sz w:val="20"/>
    </w:rPr>
  </w:style>
  <w:style w:type="character" w:customStyle="1" w:styleId="WW8Num3z0">
    <w:name w:val="WW8Num3z0"/>
    <w:qFormat/>
    <w:rPr>
      <w:spacing w:val="0"/>
      <w:kern w:val="2"/>
      <w:position w:val="0"/>
      <w:sz w:val="24"/>
      <w:u w:val="none"/>
      <w:vertAlign w:val="baseline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a3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4">
    <w:name w:val="Название Знак"/>
    <w:qFormat/>
    <w:rPr>
      <w:rFonts w:ascii="Arial" w:hAnsi="Arial" w:cs="Arial"/>
      <w:b/>
      <w:sz w:val="32"/>
    </w:rPr>
  </w:style>
  <w:style w:type="character" w:customStyle="1" w:styleId="a5">
    <w:name w:val="Основной текст Знак"/>
    <w:qFormat/>
    <w:rPr>
      <w:sz w:val="24"/>
      <w:szCs w:val="24"/>
    </w:rPr>
  </w:style>
  <w:style w:type="character" w:customStyle="1" w:styleId="60">
    <w:name w:val="Заголовок 6 Знак"/>
    <w:qFormat/>
    <w:rPr>
      <w:rFonts w:ascii="Arial" w:hAnsi="Arial" w:cs="Arial"/>
      <w:i/>
      <w:iCs/>
      <w:color w:val="4F81BD"/>
      <w:sz w:val="22"/>
      <w:szCs w:val="22"/>
    </w:rPr>
  </w:style>
  <w:style w:type="character" w:customStyle="1" w:styleId="a6">
    <w:name w:val="Без интервала Знак"/>
    <w:qFormat/>
    <w:rPr>
      <w:sz w:val="22"/>
      <w:szCs w:val="22"/>
    </w:rPr>
  </w:style>
  <w:style w:type="character" w:customStyle="1" w:styleId="FontStyle22">
    <w:name w:val="Font Style22"/>
    <w:qFormat/>
    <w:rPr>
      <w:rFonts w:ascii="Times New Roman" w:hAnsi="Times New Roman" w:cs="Times New Roman"/>
      <w:sz w:val="18"/>
      <w:szCs w:val="18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pple-converted-space">
    <w:name w:val="apple-converted-space"/>
    <w:basedOn w:val="a0"/>
    <w:qFormat/>
  </w:style>
  <w:style w:type="character" w:customStyle="1" w:styleId="10">
    <w:name w:val="Заголовок 1 Знак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paragraph" w:customStyle="1" w:styleId="Heading">
    <w:name w:val="Heading"/>
    <w:basedOn w:val="a"/>
    <w:next w:val="a7"/>
    <w:qFormat/>
    <w:pPr>
      <w:ind w:left="6372"/>
      <w:jc w:val="center"/>
    </w:pPr>
    <w:rPr>
      <w:rFonts w:ascii="Arial" w:hAnsi="Arial" w:cs="Arial"/>
      <w:b/>
      <w:sz w:val="32"/>
      <w:szCs w:val="20"/>
      <w:lang w:val="en-US"/>
    </w:rPr>
  </w:style>
  <w:style w:type="paragraph" w:styleId="a7">
    <w:name w:val="Body Text"/>
    <w:basedOn w:val="a"/>
    <w:pPr>
      <w:spacing w:after="120"/>
    </w:pPr>
    <w:rPr>
      <w:lang w:val="en-US"/>
    </w:rPr>
  </w:style>
  <w:style w:type="paragraph" w:styleId="a8">
    <w:name w:val="List"/>
    <w:basedOn w:val="a7"/>
    <w:rPr>
      <w:rFonts w:cs="Free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a">
    <w:name w:val="Body Text Indent"/>
    <w:basedOn w:val="a"/>
    <w:pPr>
      <w:ind w:firstLine="720"/>
      <w:jc w:val="both"/>
    </w:pPr>
  </w:style>
  <w:style w:type="paragraph" w:styleId="ab">
    <w:name w:val="No Spacing"/>
    <w:basedOn w:val="a"/>
    <w:qFormat/>
    <w:pPr>
      <w:spacing w:after="120" w:line="360" w:lineRule="auto"/>
    </w:pPr>
    <w:rPr>
      <w:sz w:val="22"/>
      <w:szCs w:val="22"/>
      <w:lang w:val="en-US"/>
    </w:rPr>
  </w:style>
  <w:style w:type="paragraph" w:customStyle="1" w:styleId="Style4">
    <w:name w:val="Style4"/>
    <w:basedOn w:val="a"/>
    <w:qFormat/>
    <w:pPr>
      <w:widowControl w:val="0"/>
      <w:autoSpaceDE w:val="0"/>
      <w:spacing w:line="242" w:lineRule="exact"/>
      <w:ind w:firstLine="288"/>
      <w:jc w:val="both"/>
    </w:pPr>
  </w:style>
  <w:style w:type="paragraph" w:styleId="ac">
    <w:name w:val="List Paragraph"/>
    <w:basedOn w:val="a"/>
    <w:qFormat/>
    <w:pPr>
      <w:ind w:left="720"/>
      <w:contextualSpacing/>
    </w:pPr>
    <w:rPr>
      <w:sz w:val="20"/>
      <w:szCs w:val="20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Пользователь</cp:lastModifiedBy>
  <cp:revision>3</cp:revision>
  <cp:lastPrinted>2022-09-07T14:54:00Z</cp:lastPrinted>
  <dcterms:created xsi:type="dcterms:W3CDTF">2023-11-16T20:06:00Z</dcterms:created>
  <dcterms:modified xsi:type="dcterms:W3CDTF">2023-11-16T20:20:00Z</dcterms:modified>
  <dc:language>en-US</dc:language>
</cp:coreProperties>
</file>